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внесении изменений в приложения № 1, № 2, № 3, № 4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приказу Федеральной службы по надзору в сфере транспорта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26 января 2022 г. № ВБ-44фс «Об утверждении форм оценочных листов, </w:t>
        <w:br/>
        <w:t xml:space="preserve">в соответствии с которыми проводится оценка соответствия соискателя лицензии или лицензиата лицензионным требованиям при осуществлении деятельности по перевозкам внутренним водным транспо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том, морским транспортом опасных грузов, по перевозкам внутренним водным транспортом, морским транспортом пассажиров, по осуществлению буксировок морским транспортом (за исключением случая, если указанная деятельность осуществляется для обеспечения собстве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нных нужд юридического лица или индивидуального предпринимателя), </w:t>
        <w:br/>
        <w:t xml:space="preserve">при осуществлении погрузочно-разгрузочной деятельности применительно </w:t>
        <w:br/>
        <w:t xml:space="preserve">к опасным грузам на внутреннем водном транспорте, в морских портах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36"/>
        <w:ind w:left="0"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ind w:left="0" w:right="0" w:firstLine="567"/>
        <w:jc w:val="both"/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приказа Ространснадзора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приложения № 1, № 2, № 3, № 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приказу Федеральной службы по надзору в сфере транспорта 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26 января 2022 г. № ВБ-44фс «Об утверждении форм оценочных листов, </w:t>
        <w:br/>
        <w:t xml:space="preserve">в соответствии с которыми проводится оценка соответствия соискателя лицензии или лицензиата лицензионным требованиям при осуществлении деятельности по перевозкам внутренним водным транспо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ом, морским транспортом опасных грузов, по перевозкам внутренним водным транспортом, морским транспортом пассажиров, по осуществлению буксировок морским транспортом </w:t>
        <w:br/>
        <w:t xml:space="preserve">(за исключением случая, если указанная деятельность осуществляется для обеспечения собстве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нных нужд юридического лица или индивидуального предпринимателя), при осуществлении погрузочно-разгрузочной деятельности применительно к опасным грузам на внутреннем водном транспорте, в морских портах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разработан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ча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стью 8 статьи 19.1 Федерального закона </w:t>
        <w:br/>
        <w:t xml:space="preserve">от 4 мая 2011 г. № 99-ФЗ «О лицензировании отдельных видов деятельности», подпунктом 5.2 пункта 5 Положения о Федеральной службе по надзору в сфере транспорта, утвержденного постановлением Правительства Российской Фе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рации от 30 июля 2004 г. № 398, пунктом 2 Положения о лицензировании деятельности по перевозкам внутренним водным транспортом, морским транспортом опасных грузов, утвержденного постановлением Правительства Российской Федерации</w:t>
        <w:br/>
        <w:t xml:space="preserve"> от 21 июля 2021 г. № 1243, п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нктом 2 Положения о лицензировании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утве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жденного постановлением Правительства Российской Федерации от 21 июля 2021 г. № 1243, пунктом 2 Положения о лицензировании деятельности по перевозкам внутренним водным транспортом, морским транспортом пассажиров, утвержденного постановлением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ссийской Федерации от 30 ноября 2021 г. </w:t>
        <w:br/>
        <w:t xml:space="preserve">№ 2111, пунктом 2 Положения о лицензировании погрузочно-разгрузочной деятельности применительно к опасным грузам на внутреннем водном транспорте, в морских портах, утвержденного постановлением Правительства Российск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й Федерации от 30 ноября 2021 г. № 2111, перечнем федеральных органов исполнительной власти и государственных корпораций, осуществляющих лицензирование конкретных видов деятельности, утвержденным постановлением Правительства Российской Федерации от 21 нояб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ря 2011 г. №  957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издания данного приказа Ространснадзора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актуализация форм оценочных листов, используемых для оценки соответствия соискателей лицензии или лицензиатов лицензионным требованиям при осуществлении деятельности в сфере морского и внутреннего водного транспорта.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kozachenko_ve</cp:lastModifiedBy>
  <cp:revision>7</cp:revision>
  <dcterms:created xsi:type="dcterms:W3CDTF">2024-05-14T13:33:00Z</dcterms:created>
  <dcterms:modified xsi:type="dcterms:W3CDTF">2026-05-19T13:24:28Z</dcterms:modified>
</cp:coreProperties>
</file>